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FCBCD">
      <w:pPr>
        <w:spacing w:before="0" w:beforeLines="0" w:beforeAutospacing="0" w:line="560" w:lineRule="exact"/>
        <w:ind w:left="0" w:leftChars="0" w:right="0" w:rightChars="0"/>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14:paraId="4B6225F1">
      <w:pPr>
        <w:keepNext w:val="0"/>
        <w:keepLines w:val="0"/>
        <w:pageBreakBefore w:val="0"/>
        <w:kinsoku/>
        <w:wordWrap/>
        <w:overflowPunct/>
        <w:topLinePunct w:val="0"/>
        <w:autoSpaceDE/>
        <w:autoSpaceDN/>
        <w:snapToGrid/>
        <w:spacing w:line="600" w:lineRule="exact"/>
        <w:jc w:val="left"/>
        <w:rPr>
          <w:rFonts w:hint="eastAsia" w:ascii="仿宋_GB2312" w:hAnsi="仿宋_GB2312" w:eastAsia="仿宋_GB2312" w:cs="仿宋_GB2312"/>
          <w:b w:val="0"/>
          <w:bCs w:val="0"/>
          <w:sz w:val="32"/>
          <w:szCs w:val="32"/>
          <w:highlight w:val="none"/>
          <w:lang w:val="en-US" w:eastAsia="zh-CN"/>
        </w:rPr>
      </w:pPr>
    </w:p>
    <w:p w14:paraId="0CDB1834">
      <w:pPr>
        <w:keepNext w:val="0"/>
        <w:keepLines w:val="0"/>
        <w:pageBreakBefore w:val="0"/>
        <w:kinsoku/>
        <w:wordWrap/>
        <w:overflowPunct/>
        <w:topLinePunct w:val="0"/>
        <w:autoSpaceDE/>
        <w:autoSpaceDN/>
        <w:snapToGrid/>
        <w:spacing w:line="600" w:lineRule="exact"/>
        <w:jc w:val="center"/>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包头市违规取用水十分突出问题</w:t>
      </w:r>
    </w:p>
    <w:p w14:paraId="61FC1BD6">
      <w:pPr>
        <w:keepNext w:val="0"/>
        <w:keepLines w:val="0"/>
        <w:pageBreakBefore w:val="0"/>
        <w:kinsoku/>
        <w:wordWrap/>
        <w:overflowPunct/>
        <w:topLinePunct w:val="0"/>
        <w:autoSpaceDE/>
        <w:autoSpaceDN/>
        <w:snapToGrid/>
        <w:spacing w:line="600" w:lineRule="exact"/>
        <w:jc w:val="center"/>
        <w:rPr>
          <w:rFonts w:hint="eastAsia" w:ascii="方正小标宋简体" w:hAnsi="方正小标宋简体" w:eastAsia="方正小标宋简体" w:cs="方正小标宋简体"/>
          <w:b/>
          <w:bCs/>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整改完成情况</w:t>
      </w:r>
    </w:p>
    <w:p w14:paraId="12A0D659">
      <w:pPr>
        <w:pStyle w:val="15"/>
        <w:keepNext w:val="0"/>
        <w:keepLines w:val="0"/>
        <w:pageBreakBefore w:val="0"/>
        <w:widowControl/>
        <w:numPr>
          <w:ilvl w:val="0"/>
          <w:numId w:val="0"/>
        </w:numPr>
        <w:kinsoku/>
        <w:wordWrap/>
        <w:overflowPunct/>
        <w:topLinePunct w:val="0"/>
        <w:autoSpaceDE/>
        <w:autoSpaceDN/>
        <w:adjustRightInd w:val="0"/>
        <w:snapToGrid/>
        <w:spacing w:before="0" w:line="600" w:lineRule="exact"/>
        <w:ind w:left="0" w:firstLine="640" w:firstLineChars="200"/>
        <w:jc w:val="both"/>
        <w:rPr>
          <w:rFonts w:hint="eastAsia" w:ascii="仿宋_GB2312" w:hAnsi="仿宋_GB2312" w:eastAsia="仿宋_GB2312" w:cs="仿宋_GB2312"/>
          <w:sz w:val="32"/>
          <w:szCs w:val="32"/>
          <w:highlight w:val="none"/>
          <w:lang w:val="en-US" w:eastAsia="zh-CN"/>
        </w:rPr>
      </w:pPr>
    </w:p>
    <w:p w14:paraId="43863F8C">
      <w:pPr>
        <w:pStyle w:val="15"/>
        <w:keepNext w:val="0"/>
        <w:keepLines w:val="0"/>
        <w:pageBreakBefore w:val="0"/>
        <w:widowControl/>
        <w:numPr>
          <w:ilvl w:val="0"/>
          <w:numId w:val="0"/>
        </w:numPr>
        <w:kinsoku/>
        <w:wordWrap/>
        <w:overflowPunct/>
        <w:topLinePunct w:val="0"/>
        <w:autoSpaceDE/>
        <w:autoSpaceDN/>
        <w:adjustRightInd w:val="0"/>
        <w:snapToGrid/>
        <w:spacing w:before="0" w:line="600" w:lineRule="exact"/>
        <w:ind w:left="0" w:firstLine="640" w:firstLineChars="200"/>
        <w:jc w:val="both"/>
        <w:rPr>
          <w:rFonts w:hint="eastAsia" w:ascii="仿宋_GB2312" w:hAnsi="仿宋_GB2312" w:eastAsia="仿宋_GB2312" w:cs="仿宋_GB2312"/>
          <w:snapToGrid w:val="0"/>
          <w:spacing w:val="0"/>
          <w:sz w:val="32"/>
          <w:szCs w:val="32"/>
          <w:lang w:val="en-US" w:eastAsia="zh-CN"/>
        </w:rPr>
      </w:pPr>
      <w:r>
        <w:rPr>
          <w:rFonts w:hint="eastAsia" w:ascii="仿宋_GB2312" w:hAnsi="仿宋_GB2312" w:eastAsia="仿宋_GB2312" w:cs="仿宋_GB2312"/>
          <w:sz w:val="32"/>
          <w:szCs w:val="32"/>
          <w:highlight w:val="none"/>
          <w:lang w:val="en-US" w:eastAsia="zh-CN"/>
        </w:rPr>
        <w:t>根据</w:t>
      </w:r>
      <w:r>
        <w:rPr>
          <w:rFonts w:hint="eastAsia" w:ascii="仿宋_GB2312" w:hAnsi="仿宋_GB2312" w:eastAsia="仿宋_GB2312" w:cs="仿宋_GB2312"/>
          <w:snapToGrid w:val="0"/>
          <w:spacing w:val="0"/>
          <w:sz w:val="32"/>
          <w:szCs w:val="32"/>
          <w:lang w:val="en-US" w:eastAsia="zh-CN"/>
        </w:rPr>
        <w:t>《内蒙古自治区2022年黄河流域生态环境突出问题台账和整改方案（分问题）》，“包头市违规取用黄河水十分突出问题”共制定了5项整改目标,</w:t>
      </w:r>
      <w:r>
        <w:rPr>
          <w:rFonts w:hint="eastAsia" w:ascii="仿宋_GB2312" w:hAnsi="仿宋_GB2312" w:eastAsia="仿宋_GB2312" w:cs="仿宋_GB2312"/>
          <w:b/>
          <w:bCs/>
          <w:snapToGrid w:val="0"/>
          <w:spacing w:val="0"/>
          <w:sz w:val="32"/>
          <w:szCs w:val="32"/>
          <w:lang w:val="en-US" w:eastAsia="zh-CN"/>
        </w:rPr>
        <w:t>目标（一）</w:t>
      </w:r>
      <w:r>
        <w:rPr>
          <w:rFonts w:hint="eastAsia" w:ascii="Times New Roman" w:hAnsi="Times New Roman" w:eastAsia="仿宋_GB2312" w:cs="Times New Roman"/>
          <w:snapToGrid w:val="0"/>
          <w:color w:val="auto"/>
          <w:spacing w:val="11"/>
          <w:kern w:val="2"/>
          <w:sz w:val="32"/>
          <w:szCs w:val="32"/>
          <w:lang w:val="en-US" w:eastAsia="zh-CN" w:bidi="ar-SA"/>
        </w:rPr>
        <w:t>依法查处违法取水问题，完善取水许可手续。</w:t>
      </w:r>
      <w:r>
        <w:rPr>
          <w:rFonts w:hint="eastAsia" w:ascii="仿宋_GB2312" w:hAnsi="仿宋_GB2312" w:eastAsia="仿宋_GB2312" w:cs="仿宋_GB2312"/>
          <w:b/>
          <w:bCs/>
          <w:snapToGrid w:val="0"/>
          <w:spacing w:val="0"/>
          <w:sz w:val="32"/>
          <w:szCs w:val="32"/>
          <w:lang w:val="en-US" w:eastAsia="zh-CN"/>
        </w:rPr>
        <w:t>目标（二）</w:t>
      </w:r>
      <w:r>
        <w:rPr>
          <w:rFonts w:hint="eastAsia" w:ascii="Times New Roman" w:hAnsi="Times New Roman" w:eastAsia="仿宋_GB2312" w:cs="Times New Roman"/>
          <w:snapToGrid w:val="0"/>
          <w:color w:val="auto"/>
          <w:spacing w:val="11"/>
          <w:kern w:val="2"/>
          <w:sz w:val="32"/>
          <w:szCs w:val="32"/>
          <w:lang w:val="en-US" w:eastAsia="zh-CN" w:bidi="ar-SA"/>
        </w:rPr>
        <w:t>完成大青山水源工程中水输水管道与污水处理厂中水连接管线工程建设，保障大青山水源工程绿化使用再生水。</w:t>
      </w:r>
      <w:r>
        <w:rPr>
          <w:rFonts w:hint="eastAsia" w:ascii="仿宋_GB2312" w:hAnsi="仿宋_GB2312" w:eastAsia="仿宋_GB2312" w:cs="仿宋_GB2312"/>
          <w:b/>
          <w:bCs/>
          <w:snapToGrid w:val="0"/>
          <w:spacing w:val="0"/>
          <w:sz w:val="32"/>
          <w:szCs w:val="32"/>
          <w:lang w:val="en-US" w:eastAsia="zh-CN"/>
        </w:rPr>
        <w:t>目标（三）</w:t>
      </w:r>
      <w:r>
        <w:rPr>
          <w:rFonts w:hint="eastAsia" w:ascii="Times New Roman" w:hAnsi="Times New Roman" w:eastAsia="仿宋_GB2312" w:cs="Times New Roman"/>
          <w:snapToGrid w:val="0"/>
          <w:color w:val="auto"/>
          <w:spacing w:val="11"/>
          <w:kern w:val="2"/>
          <w:sz w:val="32"/>
          <w:szCs w:val="32"/>
          <w:lang w:val="en-US" w:eastAsia="zh-CN" w:bidi="ar-SA"/>
        </w:rPr>
        <w:t>小白河防凌应急分洪区按照相关规定和要求规范运行。</w:t>
      </w:r>
      <w:r>
        <w:rPr>
          <w:rFonts w:hint="eastAsia" w:ascii="仿宋_GB2312" w:hAnsi="仿宋_GB2312" w:eastAsia="仿宋_GB2312" w:cs="仿宋_GB2312"/>
          <w:b/>
          <w:bCs/>
          <w:snapToGrid w:val="0"/>
          <w:spacing w:val="0"/>
          <w:sz w:val="32"/>
          <w:szCs w:val="32"/>
          <w:lang w:val="en-US" w:eastAsia="zh-CN"/>
        </w:rPr>
        <w:t>目标（四）</w:t>
      </w:r>
      <w:r>
        <w:rPr>
          <w:rFonts w:hint="eastAsia" w:ascii="Times New Roman" w:hAnsi="Times New Roman" w:eastAsia="仿宋_GB2312" w:cs="Times New Roman"/>
          <w:snapToGrid w:val="0"/>
          <w:color w:val="auto"/>
          <w:spacing w:val="11"/>
          <w:kern w:val="2"/>
          <w:sz w:val="32"/>
          <w:szCs w:val="32"/>
          <w:lang w:val="en-US" w:eastAsia="zh-CN" w:bidi="ar-SA"/>
        </w:rPr>
        <w:t>推进水权转让和各行业节水，扩大再生水利用，提高用水效率。</w:t>
      </w:r>
      <w:r>
        <w:rPr>
          <w:rFonts w:hint="eastAsia" w:ascii="仿宋_GB2312" w:hAnsi="仿宋_GB2312" w:eastAsia="仿宋_GB2312" w:cs="仿宋_GB2312"/>
          <w:b/>
          <w:bCs/>
          <w:snapToGrid w:val="0"/>
          <w:spacing w:val="0"/>
          <w:sz w:val="32"/>
          <w:szCs w:val="32"/>
          <w:lang w:val="en-US" w:eastAsia="zh-CN"/>
        </w:rPr>
        <w:t>目标（五）</w:t>
      </w:r>
      <w:r>
        <w:rPr>
          <w:rFonts w:hint="eastAsia" w:ascii="Times New Roman" w:hAnsi="Times New Roman" w:eastAsia="仿宋_GB2312" w:cs="Times New Roman"/>
          <w:snapToGrid w:val="0"/>
          <w:color w:val="auto"/>
          <w:spacing w:val="11"/>
          <w:kern w:val="2"/>
          <w:sz w:val="32"/>
          <w:szCs w:val="32"/>
          <w:lang w:val="en-US" w:eastAsia="zh-CN" w:bidi="ar-SA"/>
        </w:rPr>
        <w:t>清单中所有已建成的高耗水项目单位产品水耗全部达到自治区行业用水定额先进值</w:t>
      </w:r>
    </w:p>
    <w:p w14:paraId="0983BBCE">
      <w:pPr>
        <w:pStyle w:val="15"/>
        <w:keepNext w:val="0"/>
        <w:keepLines w:val="0"/>
        <w:pageBreakBefore w:val="0"/>
        <w:widowControl/>
        <w:numPr>
          <w:ilvl w:val="0"/>
          <w:numId w:val="0"/>
        </w:numPr>
        <w:kinsoku/>
        <w:wordWrap/>
        <w:overflowPunct/>
        <w:topLinePunct w:val="0"/>
        <w:autoSpaceDE/>
        <w:autoSpaceDN/>
        <w:adjustRightInd w:val="0"/>
        <w:snapToGrid/>
        <w:spacing w:before="0" w:line="600" w:lineRule="exact"/>
        <w:ind w:left="0" w:firstLine="640" w:firstLineChars="200"/>
        <w:jc w:val="both"/>
        <w:rPr>
          <w:rFonts w:hint="eastAsia" w:ascii="仿宋_GB2312" w:hAnsi="仿宋_GB2312" w:eastAsia="仿宋_GB2312" w:cs="仿宋_GB2312"/>
          <w:snapToGrid w:val="0"/>
          <w:spacing w:val="0"/>
          <w:sz w:val="32"/>
          <w:szCs w:val="32"/>
          <w:lang w:val="en-US" w:eastAsia="zh-CN"/>
        </w:rPr>
      </w:pPr>
      <w:r>
        <w:rPr>
          <w:rFonts w:hint="eastAsia" w:ascii="仿宋_GB2312" w:hAnsi="仿宋_GB2312" w:eastAsia="仿宋_GB2312" w:cs="仿宋_GB2312"/>
          <w:snapToGrid w:val="0"/>
          <w:spacing w:val="0"/>
          <w:sz w:val="32"/>
          <w:szCs w:val="32"/>
          <w:lang w:val="en-US" w:eastAsia="zh-CN"/>
        </w:rPr>
        <w:t>根据包头市上报的整改完成情况，经自治区水利厅、工业和信息化厅、应急管理厅、住房城乡建设厅、农牧厅和税务局验收，该问题已完成整改，具体情况如下：</w:t>
      </w:r>
    </w:p>
    <w:p w14:paraId="198912A3">
      <w:pPr>
        <w:pStyle w:val="15"/>
        <w:keepNext w:val="0"/>
        <w:keepLines w:val="0"/>
        <w:pageBreakBefore w:val="0"/>
        <w:widowControl/>
        <w:numPr>
          <w:ilvl w:val="0"/>
          <w:numId w:val="0"/>
        </w:numPr>
        <w:kinsoku/>
        <w:wordWrap/>
        <w:overflowPunct/>
        <w:topLinePunct w:val="0"/>
        <w:autoSpaceDE/>
        <w:autoSpaceDN/>
        <w:adjustRightInd w:val="0"/>
        <w:snapToGrid/>
        <w:spacing w:before="0" w:line="600" w:lineRule="exact"/>
        <w:ind w:left="0" w:firstLine="643" w:firstLineChars="200"/>
        <w:jc w:val="both"/>
        <w:rPr>
          <w:rFonts w:hint="eastAsia" w:ascii="仿宋_GB2312" w:hAnsi="仿宋_GB2312" w:eastAsia="仿宋_GB2312" w:cs="仿宋_GB2312"/>
          <w:b/>
          <w:bCs/>
          <w:snapToGrid w:val="0"/>
          <w:spacing w:val="0"/>
          <w:sz w:val="32"/>
          <w:szCs w:val="32"/>
          <w:lang w:val="en-US" w:eastAsia="zh-CN"/>
        </w:rPr>
      </w:pPr>
      <w:r>
        <w:rPr>
          <w:rFonts w:hint="eastAsia" w:ascii="仿宋_GB2312" w:hAnsi="仿宋_GB2312" w:eastAsia="仿宋_GB2312" w:cs="仿宋_GB2312"/>
          <w:b/>
          <w:bCs/>
          <w:snapToGrid w:val="0"/>
          <w:spacing w:val="0"/>
          <w:sz w:val="32"/>
          <w:szCs w:val="32"/>
          <w:lang w:val="en-US" w:eastAsia="zh-CN"/>
        </w:rPr>
        <w:t>目标（一）完成情况：</w:t>
      </w:r>
    </w:p>
    <w:p w14:paraId="231DD4F9">
      <w:pPr>
        <w:pStyle w:val="15"/>
        <w:keepNext w:val="0"/>
        <w:keepLines w:val="0"/>
        <w:pageBreakBefore w:val="0"/>
        <w:widowControl/>
        <w:numPr>
          <w:ilvl w:val="0"/>
          <w:numId w:val="0"/>
        </w:numPr>
        <w:kinsoku/>
        <w:wordWrap/>
        <w:overflowPunct/>
        <w:topLinePunct w:val="0"/>
        <w:autoSpaceDE/>
        <w:autoSpaceDN/>
        <w:adjustRightInd w:val="0"/>
        <w:snapToGrid/>
        <w:spacing w:before="0" w:line="600" w:lineRule="exact"/>
        <w:ind w:left="0" w:firstLine="640" w:firstLineChars="200"/>
        <w:jc w:val="both"/>
        <w:rPr>
          <w:rFonts w:ascii="仿宋_GB2312" w:hAnsi="仿宋_GB2312" w:eastAsia="仿宋_GB2312" w:cs="仿宋_GB2312"/>
          <w:snapToGrid w:val="0"/>
          <w:spacing w:val="0"/>
          <w:sz w:val="32"/>
          <w:szCs w:val="32"/>
          <w:lang w:val="en-US" w:eastAsia="zh-CN"/>
        </w:rPr>
      </w:pPr>
      <w:r>
        <w:rPr>
          <w:rFonts w:ascii="仿宋_GB2312" w:hAnsi="仿宋_GB2312" w:eastAsia="仿宋_GB2312" w:cs="仿宋_GB2312"/>
          <w:snapToGrid w:val="0"/>
          <w:spacing w:val="0"/>
          <w:sz w:val="32"/>
          <w:szCs w:val="32"/>
          <w:lang w:val="en-US" w:eastAsia="zh-CN"/>
        </w:rPr>
        <w:t>1</w:t>
      </w:r>
      <w:r>
        <w:rPr>
          <w:rFonts w:hint="eastAsia" w:ascii="仿宋_GB2312" w:hAnsi="仿宋_GB2312" w:eastAsia="仿宋_GB2312" w:cs="仿宋_GB2312"/>
          <w:snapToGrid w:val="0"/>
          <w:spacing w:val="0"/>
          <w:sz w:val="32"/>
          <w:szCs w:val="32"/>
          <w:lang w:val="en-US" w:eastAsia="zh-CN"/>
        </w:rPr>
        <w:t>.依法对违规取用水行为进行查处。</w:t>
      </w:r>
      <w:r>
        <w:rPr>
          <w:rFonts w:ascii="仿宋_GB2312" w:hAnsi="仿宋_GB2312" w:eastAsia="仿宋_GB2312" w:cs="仿宋_GB2312"/>
          <w:snapToGrid w:val="0"/>
          <w:spacing w:val="0"/>
          <w:sz w:val="32"/>
          <w:szCs w:val="32"/>
          <w:lang w:val="en-US" w:eastAsia="zh-CN"/>
        </w:rPr>
        <w:t>202</w:t>
      </w:r>
      <w:r>
        <w:rPr>
          <w:rFonts w:hint="eastAsia" w:ascii="仿宋_GB2312" w:hAnsi="仿宋_GB2312" w:eastAsia="仿宋_GB2312" w:cs="仿宋_GB2312"/>
          <w:snapToGrid w:val="0"/>
          <w:spacing w:val="0"/>
          <w:sz w:val="32"/>
          <w:szCs w:val="32"/>
          <w:lang w:val="en-US" w:eastAsia="zh-CN"/>
        </w:rPr>
        <w:t>3</w:t>
      </w:r>
      <w:r>
        <w:rPr>
          <w:rFonts w:ascii="仿宋_GB2312" w:hAnsi="仿宋_GB2312" w:eastAsia="仿宋_GB2312" w:cs="仿宋_GB2312"/>
          <w:snapToGrid w:val="0"/>
          <w:spacing w:val="0"/>
          <w:sz w:val="32"/>
          <w:szCs w:val="32"/>
          <w:lang w:val="en-US" w:eastAsia="zh-CN"/>
        </w:rPr>
        <w:t>年</w:t>
      </w:r>
      <w:r>
        <w:rPr>
          <w:rFonts w:hint="eastAsia" w:ascii="仿宋_GB2312" w:hAnsi="仿宋_GB2312" w:eastAsia="仿宋_GB2312" w:cs="仿宋_GB2312"/>
          <w:snapToGrid w:val="0"/>
          <w:spacing w:val="0"/>
          <w:sz w:val="32"/>
          <w:szCs w:val="32"/>
          <w:lang w:val="en-US" w:eastAsia="zh-CN"/>
        </w:rPr>
        <w:t>2</w:t>
      </w:r>
      <w:r>
        <w:rPr>
          <w:rFonts w:ascii="仿宋_GB2312" w:hAnsi="仿宋_GB2312" w:eastAsia="仿宋_GB2312" w:cs="仿宋_GB2312"/>
          <w:snapToGrid w:val="0"/>
          <w:spacing w:val="0"/>
          <w:sz w:val="32"/>
          <w:szCs w:val="32"/>
          <w:lang w:val="en-US" w:eastAsia="zh-CN"/>
        </w:rPr>
        <w:t>月</w:t>
      </w:r>
      <w:r>
        <w:rPr>
          <w:rFonts w:hint="eastAsia" w:ascii="仿宋_GB2312" w:hAnsi="仿宋_GB2312" w:eastAsia="仿宋_GB2312" w:cs="仿宋_GB2312"/>
          <w:snapToGrid w:val="0"/>
          <w:spacing w:val="0"/>
          <w:sz w:val="32"/>
          <w:szCs w:val="32"/>
          <w:lang w:val="en-US" w:eastAsia="zh-CN"/>
        </w:rPr>
        <w:t>23日</w:t>
      </w:r>
      <w:r>
        <w:rPr>
          <w:rFonts w:ascii="仿宋_GB2312" w:hAnsi="仿宋_GB2312" w:eastAsia="仿宋_GB2312" w:cs="仿宋_GB2312"/>
          <w:snapToGrid w:val="0"/>
          <w:spacing w:val="0"/>
          <w:sz w:val="32"/>
          <w:szCs w:val="32"/>
          <w:lang w:val="en-US" w:eastAsia="zh-CN"/>
        </w:rPr>
        <w:t>，包头市水务局对内蒙古泰弘生态环境发展股份有限公司违规取水进行了行政处罚，罚款92000元。2023年3月14日</w:t>
      </w:r>
      <w:r>
        <w:rPr>
          <w:rFonts w:hint="eastAsia" w:ascii="仿宋_GB2312" w:hAnsi="仿宋_GB2312" w:eastAsia="仿宋_GB2312" w:cs="仿宋_GB2312"/>
          <w:snapToGrid w:val="0"/>
          <w:spacing w:val="0"/>
          <w:sz w:val="32"/>
          <w:szCs w:val="32"/>
          <w:lang w:val="en-US" w:eastAsia="zh-CN"/>
        </w:rPr>
        <w:t>，</w:t>
      </w:r>
      <w:r>
        <w:rPr>
          <w:rFonts w:ascii="仿宋_GB2312" w:hAnsi="仿宋_GB2312" w:eastAsia="仿宋_GB2312" w:cs="仿宋_GB2312"/>
          <w:snapToGrid w:val="0"/>
          <w:spacing w:val="0"/>
          <w:sz w:val="32"/>
          <w:szCs w:val="32"/>
          <w:lang w:val="en-US" w:eastAsia="zh-CN"/>
        </w:rPr>
        <w:t>企业</w:t>
      </w:r>
      <w:r>
        <w:rPr>
          <w:rFonts w:hint="eastAsia" w:ascii="仿宋_GB2312" w:hAnsi="仿宋_GB2312" w:eastAsia="仿宋_GB2312" w:cs="仿宋_GB2312"/>
          <w:snapToGrid w:val="0"/>
          <w:spacing w:val="0"/>
          <w:sz w:val="32"/>
          <w:szCs w:val="32"/>
          <w:lang w:val="en-US" w:eastAsia="zh-CN"/>
        </w:rPr>
        <w:t>已</w:t>
      </w:r>
      <w:r>
        <w:rPr>
          <w:rFonts w:ascii="仿宋_GB2312" w:hAnsi="仿宋_GB2312" w:eastAsia="仿宋_GB2312" w:cs="仿宋_GB2312"/>
          <w:snapToGrid w:val="0"/>
          <w:spacing w:val="0"/>
          <w:sz w:val="32"/>
          <w:szCs w:val="32"/>
          <w:lang w:val="en-US" w:eastAsia="zh-CN"/>
        </w:rPr>
        <w:t>足额缴纳罚款。</w:t>
      </w:r>
    </w:p>
    <w:p w14:paraId="3A5C1E83">
      <w:pPr>
        <w:pStyle w:val="15"/>
        <w:keepNext w:val="0"/>
        <w:keepLines w:val="0"/>
        <w:pageBreakBefore w:val="0"/>
        <w:widowControl/>
        <w:numPr>
          <w:ilvl w:val="0"/>
          <w:numId w:val="0"/>
        </w:numPr>
        <w:kinsoku/>
        <w:wordWrap/>
        <w:overflowPunct/>
        <w:topLinePunct w:val="0"/>
        <w:autoSpaceDE/>
        <w:autoSpaceDN/>
        <w:adjustRightInd w:val="0"/>
        <w:snapToGrid/>
        <w:spacing w:before="0" w:line="600" w:lineRule="exact"/>
        <w:ind w:left="0" w:firstLine="640" w:firstLineChars="200"/>
        <w:jc w:val="both"/>
        <w:rPr>
          <w:rFonts w:ascii="仿宋_GB2312" w:hAnsi="仿宋_GB2312" w:eastAsia="仿宋_GB2312" w:cs="仿宋_GB2312"/>
          <w:snapToGrid w:val="0"/>
          <w:spacing w:val="0"/>
          <w:sz w:val="32"/>
          <w:szCs w:val="32"/>
          <w:lang w:val="en-US" w:eastAsia="zh-CN"/>
        </w:rPr>
      </w:pPr>
      <w:r>
        <w:rPr>
          <w:rFonts w:ascii="仿宋_GB2312" w:hAnsi="仿宋_GB2312" w:eastAsia="仿宋_GB2312" w:cs="仿宋_GB2312"/>
          <w:snapToGrid w:val="0"/>
          <w:spacing w:val="0"/>
          <w:sz w:val="32"/>
          <w:szCs w:val="32"/>
          <w:lang w:val="en-US" w:eastAsia="zh-CN"/>
        </w:rPr>
        <w:t>2.</w:t>
      </w:r>
      <w:r>
        <w:rPr>
          <w:rFonts w:hint="eastAsia" w:ascii="仿宋_GB2312" w:hAnsi="仿宋_GB2312" w:eastAsia="仿宋_GB2312" w:cs="仿宋_GB2312"/>
          <w:snapToGrid w:val="0"/>
          <w:spacing w:val="0"/>
          <w:sz w:val="32"/>
          <w:szCs w:val="32"/>
          <w:lang w:val="en-US" w:eastAsia="zh-CN"/>
        </w:rPr>
        <w:t>依法依规完善取水许可手续、征缴水资源税。</w:t>
      </w:r>
      <w:r>
        <w:rPr>
          <w:rFonts w:ascii="仿宋_GB2312" w:hAnsi="仿宋_GB2312" w:eastAsia="仿宋_GB2312" w:cs="仿宋_GB2312"/>
          <w:snapToGrid w:val="0"/>
          <w:spacing w:val="0"/>
          <w:sz w:val="32"/>
          <w:szCs w:val="32"/>
          <w:lang w:val="en-US" w:eastAsia="zh-CN"/>
        </w:rPr>
        <w:t>2024年12月27日，内蒙古泰弘生态环境发展股份有限公司取得了</w:t>
      </w:r>
      <w:r>
        <w:rPr>
          <w:rFonts w:hint="eastAsia" w:ascii="仿宋_GB2312" w:hAnsi="仿宋_GB2312" w:eastAsia="仿宋_GB2312" w:cs="仿宋_GB2312"/>
          <w:snapToGrid w:val="0"/>
          <w:spacing w:val="0"/>
          <w:sz w:val="32"/>
          <w:szCs w:val="32"/>
          <w:lang w:val="en-US" w:eastAsia="zh-CN"/>
        </w:rPr>
        <w:t>水利部黄河水利委员会</w:t>
      </w:r>
      <w:r>
        <w:rPr>
          <w:rFonts w:ascii="仿宋_GB2312" w:hAnsi="仿宋_GB2312" w:eastAsia="仿宋_GB2312" w:cs="仿宋_GB2312"/>
          <w:snapToGrid w:val="0"/>
          <w:spacing w:val="0"/>
          <w:sz w:val="32"/>
          <w:szCs w:val="32"/>
          <w:lang w:val="en-US" w:eastAsia="zh-CN"/>
        </w:rPr>
        <w:t>核发的取水许可证，证号A150207S2024-0694，许可水量1733.34万立方米</w:t>
      </w:r>
      <w:r>
        <w:rPr>
          <w:rFonts w:hint="eastAsia" w:ascii="仿宋_GB2312" w:hAnsi="仿宋_GB2312" w:eastAsia="仿宋_GB2312" w:cs="仿宋_GB2312"/>
          <w:snapToGrid w:val="0"/>
          <w:spacing w:val="0"/>
          <w:sz w:val="32"/>
          <w:szCs w:val="32"/>
          <w:lang w:val="en-US" w:eastAsia="zh-CN"/>
        </w:rPr>
        <w:t>/</w:t>
      </w:r>
      <w:r>
        <w:rPr>
          <w:rFonts w:ascii="仿宋_GB2312" w:hAnsi="仿宋_GB2312" w:eastAsia="仿宋_GB2312" w:cs="仿宋_GB2312"/>
          <w:snapToGrid w:val="0"/>
          <w:spacing w:val="0"/>
          <w:sz w:val="32"/>
          <w:szCs w:val="32"/>
          <w:lang w:val="en-US" w:eastAsia="zh-CN"/>
        </w:rPr>
        <w:t>年。</w:t>
      </w:r>
      <w:r>
        <w:rPr>
          <w:rFonts w:hint="eastAsia" w:ascii="仿宋_GB2312" w:hAnsi="仿宋_GB2312" w:eastAsia="仿宋_GB2312" w:cs="仿宋_GB2312"/>
          <w:snapToGrid w:val="0"/>
          <w:spacing w:val="0"/>
          <w:sz w:val="32"/>
          <w:szCs w:val="32"/>
          <w:lang w:val="en-US" w:eastAsia="zh-CN"/>
        </w:rPr>
        <w:t>2019年至2024年大青山水源工程取水口纳税水量5323.99万立方米，实际取水量5434.71万立方米，纳税金额11114.70万元。</w:t>
      </w:r>
    </w:p>
    <w:p w14:paraId="270E0802">
      <w:pPr>
        <w:pStyle w:val="15"/>
        <w:keepNext w:val="0"/>
        <w:keepLines w:val="0"/>
        <w:pageBreakBefore w:val="0"/>
        <w:widowControl/>
        <w:numPr>
          <w:ilvl w:val="0"/>
          <w:numId w:val="0"/>
        </w:numPr>
        <w:kinsoku/>
        <w:wordWrap/>
        <w:overflowPunct/>
        <w:topLinePunct w:val="0"/>
        <w:autoSpaceDE/>
        <w:autoSpaceDN/>
        <w:adjustRightInd w:val="0"/>
        <w:snapToGrid/>
        <w:spacing w:before="0" w:line="600" w:lineRule="exact"/>
        <w:ind w:left="0" w:firstLine="643" w:firstLineChars="200"/>
        <w:jc w:val="both"/>
        <w:rPr>
          <w:rFonts w:hint="eastAsia" w:ascii="仿宋_GB2312" w:hAnsi="仿宋_GB2312" w:eastAsia="仿宋_GB2312" w:cs="仿宋_GB2312"/>
          <w:b/>
          <w:bCs/>
          <w:snapToGrid w:val="0"/>
          <w:spacing w:val="0"/>
          <w:sz w:val="32"/>
          <w:szCs w:val="32"/>
          <w:lang w:val="en-US" w:eastAsia="zh-CN"/>
        </w:rPr>
      </w:pPr>
      <w:r>
        <w:rPr>
          <w:rFonts w:hint="eastAsia" w:ascii="仿宋_GB2312" w:hAnsi="仿宋_GB2312" w:eastAsia="仿宋_GB2312" w:cs="仿宋_GB2312"/>
          <w:b/>
          <w:bCs/>
          <w:snapToGrid w:val="0"/>
          <w:spacing w:val="0"/>
          <w:sz w:val="32"/>
          <w:szCs w:val="32"/>
          <w:lang w:val="en-US" w:eastAsia="zh-CN"/>
        </w:rPr>
        <w:t>目标（二）完成情况：</w:t>
      </w:r>
    </w:p>
    <w:p w14:paraId="38CFF594">
      <w:pPr>
        <w:pStyle w:val="15"/>
        <w:keepNext w:val="0"/>
        <w:keepLines w:val="0"/>
        <w:pageBreakBefore w:val="0"/>
        <w:widowControl/>
        <w:numPr>
          <w:ilvl w:val="0"/>
          <w:numId w:val="0"/>
        </w:numPr>
        <w:kinsoku/>
        <w:wordWrap/>
        <w:overflowPunct/>
        <w:topLinePunct w:val="0"/>
        <w:autoSpaceDE/>
        <w:autoSpaceDN/>
        <w:adjustRightInd w:val="0"/>
        <w:snapToGrid/>
        <w:spacing w:before="0" w:line="600" w:lineRule="exact"/>
        <w:ind w:left="0" w:firstLine="640" w:firstLineChars="200"/>
        <w:jc w:val="both"/>
        <w:rPr>
          <w:rFonts w:ascii="仿宋_GB2312" w:hAnsi="仿宋_GB2312" w:eastAsia="仿宋_GB2312" w:cs="仿宋_GB2312"/>
          <w:snapToGrid w:val="0"/>
          <w:spacing w:val="0"/>
          <w:sz w:val="32"/>
          <w:szCs w:val="32"/>
          <w:lang w:val="en-US" w:eastAsia="zh-CN"/>
        </w:rPr>
      </w:pPr>
      <w:r>
        <w:rPr>
          <w:rFonts w:ascii="仿宋_GB2312" w:hAnsi="仿宋_GB2312" w:eastAsia="仿宋_GB2312" w:cs="仿宋_GB2312"/>
          <w:snapToGrid w:val="0"/>
          <w:spacing w:val="0"/>
          <w:sz w:val="32"/>
          <w:szCs w:val="32"/>
          <w:lang w:val="en-US" w:eastAsia="zh-CN"/>
        </w:rPr>
        <w:t>1</w:t>
      </w:r>
      <w:r>
        <w:rPr>
          <w:rFonts w:hint="eastAsia" w:ascii="仿宋_GB2312" w:hAnsi="仿宋_GB2312" w:eastAsia="仿宋_GB2312" w:cs="仿宋_GB2312"/>
          <w:snapToGrid w:val="0"/>
          <w:spacing w:val="0"/>
          <w:sz w:val="32"/>
          <w:szCs w:val="32"/>
          <w:lang w:val="en-US" w:eastAsia="zh-CN"/>
        </w:rPr>
        <w:t>.完成大青山水源工程中水输水管道与污水处理厂中水连接管线工程建设。该工程包括包头市二道沙河再生水管线工程（三电厂-三圪台）及再生水提升泵站工程和包头市昆河再生水枢纽泵站工程2个项目，2个项目分别于2025年4月16日和2025年6月27日完成竣工预验收。</w:t>
      </w:r>
    </w:p>
    <w:p w14:paraId="588ACFC7">
      <w:pPr>
        <w:pStyle w:val="15"/>
        <w:keepNext w:val="0"/>
        <w:keepLines w:val="0"/>
        <w:pageBreakBefore w:val="0"/>
        <w:widowControl/>
        <w:numPr>
          <w:ilvl w:val="0"/>
          <w:numId w:val="0"/>
        </w:numPr>
        <w:kinsoku/>
        <w:wordWrap/>
        <w:overflowPunct/>
        <w:topLinePunct w:val="0"/>
        <w:autoSpaceDE/>
        <w:autoSpaceDN/>
        <w:adjustRightInd w:val="0"/>
        <w:snapToGrid/>
        <w:spacing w:before="0" w:line="600" w:lineRule="exact"/>
        <w:ind w:left="0" w:firstLine="640" w:firstLineChars="200"/>
        <w:jc w:val="both"/>
        <w:rPr>
          <w:rFonts w:hint="eastAsia" w:ascii="仿宋_GB2312" w:hAnsi="仿宋_GB2312" w:eastAsia="仿宋_GB2312" w:cs="仿宋_GB2312"/>
          <w:snapToGrid w:val="0"/>
          <w:spacing w:val="0"/>
          <w:sz w:val="32"/>
          <w:szCs w:val="32"/>
          <w:lang w:val="en-US" w:eastAsia="zh-CN"/>
        </w:rPr>
      </w:pPr>
      <w:r>
        <w:rPr>
          <w:rFonts w:ascii="仿宋_GB2312" w:hAnsi="仿宋_GB2312" w:eastAsia="仿宋_GB2312" w:cs="仿宋_GB2312"/>
          <w:snapToGrid w:val="0"/>
          <w:spacing w:val="0"/>
          <w:sz w:val="32"/>
          <w:szCs w:val="32"/>
          <w:lang w:val="en-US" w:eastAsia="zh-CN"/>
        </w:rPr>
        <w:t>2</w:t>
      </w:r>
      <w:r>
        <w:rPr>
          <w:rFonts w:hint="eastAsia" w:ascii="仿宋_GB2312" w:hAnsi="仿宋_GB2312" w:eastAsia="仿宋_GB2312" w:cs="仿宋_GB2312"/>
          <w:snapToGrid w:val="0"/>
          <w:spacing w:val="0"/>
          <w:sz w:val="32"/>
          <w:szCs w:val="32"/>
          <w:lang w:val="en-US" w:eastAsia="zh-CN"/>
        </w:rPr>
        <w:t>.</w:t>
      </w:r>
      <w:r>
        <w:rPr>
          <w:rFonts w:ascii="仿宋_GB2312" w:hAnsi="仿宋_GB2312" w:eastAsia="仿宋_GB2312" w:cs="仿宋_GB2312"/>
          <w:snapToGrid w:val="0"/>
          <w:spacing w:val="0"/>
          <w:sz w:val="32"/>
          <w:szCs w:val="32"/>
          <w:lang w:val="en-US" w:eastAsia="zh-CN"/>
        </w:rPr>
        <w:t>保</w:t>
      </w:r>
      <w:r>
        <w:rPr>
          <w:rFonts w:hint="eastAsia" w:ascii="仿宋_GB2312" w:hAnsi="仿宋_GB2312" w:eastAsia="仿宋_GB2312" w:cs="仿宋_GB2312"/>
          <w:snapToGrid w:val="0"/>
          <w:spacing w:val="0"/>
          <w:sz w:val="32"/>
          <w:szCs w:val="32"/>
          <w:lang w:val="en-US" w:eastAsia="zh-CN"/>
        </w:rPr>
        <w:t>障大青山水源工程绿化使用再生水。</w:t>
      </w:r>
      <w:r>
        <w:rPr>
          <w:rFonts w:ascii="仿宋_GB2312" w:hAnsi="仿宋_GB2312" w:eastAsia="仿宋_GB2312" w:cs="仿宋_GB2312"/>
          <w:snapToGrid w:val="0"/>
          <w:spacing w:val="0"/>
          <w:sz w:val="32"/>
          <w:szCs w:val="32"/>
          <w:lang w:val="en-US" w:eastAsia="zh-CN"/>
        </w:rPr>
        <w:t>昆都仑河补水及周边绿化用水管道已接通，具备补水条件</w:t>
      </w:r>
      <w:r>
        <w:rPr>
          <w:rFonts w:hint="eastAsia" w:ascii="仿宋_GB2312" w:hAnsi="仿宋_GB2312" w:eastAsia="仿宋_GB2312" w:cs="仿宋_GB2312"/>
          <w:snapToGrid w:val="0"/>
          <w:spacing w:val="0"/>
          <w:sz w:val="32"/>
          <w:szCs w:val="32"/>
          <w:lang w:val="en-US" w:eastAsia="zh-CN"/>
        </w:rPr>
        <w:t>。包头市昆区农牧局、住房和城乡建设局等再生水用水单位已与包头市再生水资源及污水处理有限责任公司签订再生水供水意向协议，</w:t>
      </w:r>
      <w:r>
        <w:rPr>
          <w:rFonts w:ascii="仿宋_GB2312" w:hAnsi="仿宋_GB2312" w:eastAsia="仿宋_GB2312" w:cs="仿宋_GB2312"/>
          <w:snapToGrid w:val="0"/>
          <w:spacing w:val="0"/>
          <w:sz w:val="32"/>
          <w:szCs w:val="32"/>
          <w:lang w:val="en-US" w:eastAsia="zh-CN"/>
        </w:rPr>
        <w:t>2025年</w:t>
      </w:r>
      <w:r>
        <w:rPr>
          <w:rFonts w:hint="eastAsia" w:ascii="仿宋_GB2312" w:hAnsi="仿宋_GB2312" w:eastAsia="仿宋_GB2312" w:cs="仿宋_GB2312"/>
          <w:snapToGrid w:val="0"/>
          <w:spacing w:val="0"/>
          <w:sz w:val="32"/>
          <w:szCs w:val="32"/>
          <w:lang w:val="en-US" w:eastAsia="zh-CN"/>
        </w:rPr>
        <w:t>通过该工程进行</w:t>
      </w:r>
      <w:r>
        <w:rPr>
          <w:rFonts w:ascii="仿宋_GB2312" w:hAnsi="仿宋_GB2312" w:eastAsia="仿宋_GB2312" w:cs="仿宋_GB2312"/>
          <w:snapToGrid w:val="0"/>
          <w:spacing w:val="0"/>
          <w:sz w:val="32"/>
          <w:szCs w:val="32"/>
          <w:lang w:val="en-US" w:eastAsia="zh-CN"/>
        </w:rPr>
        <w:t>绿化</w:t>
      </w:r>
      <w:r>
        <w:rPr>
          <w:rFonts w:hint="eastAsia" w:ascii="仿宋_GB2312" w:hAnsi="仿宋_GB2312" w:eastAsia="仿宋_GB2312" w:cs="仿宋_GB2312"/>
          <w:snapToGrid w:val="0"/>
          <w:spacing w:val="0"/>
          <w:sz w:val="32"/>
          <w:szCs w:val="32"/>
          <w:lang w:val="en-US" w:eastAsia="zh-CN"/>
        </w:rPr>
        <w:t>用水</w:t>
      </w:r>
      <w:r>
        <w:rPr>
          <w:rFonts w:ascii="仿宋_GB2312" w:hAnsi="仿宋_GB2312" w:eastAsia="仿宋_GB2312" w:cs="仿宋_GB2312"/>
          <w:snapToGrid w:val="0"/>
          <w:spacing w:val="0"/>
          <w:sz w:val="32"/>
          <w:szCs w:val="32"/>
          <w:lang w:val="en-US" w:eastAsia="zh-CN"/>
        </w:rPr>
        <w:t>13094.69</w:t>
      </w:r>
      <w:r>
        <w:rPr>
          <w:rFonts w:hint="eastAsia" w:ascii="仿宋_GB2312" w:hAnsi="仿宋_GB2312" w:eastAsia="仿宋_GB2312" w:cs="仿宋_GB2312"/>
          <w:snapToGrid w:val="0"/>
          <w:spacing w:val="0"/>
          <w:sz w:val="32"/>
          <w:szCs w:val="32"/>
          <w:lang w:val="en-US" w:eastAsia="zh-CN"/>
        </w:rPr>
        <w:t>立方米。</w:t>
      </w:r>
    </w:p>
    <w:p w14:paraId="65BADE14">
      <w:pPr>
        <w:pStyle w:val="15"/>
        <w:keepNext w:val="0"/>
        <w:keepLines w:val="0"/>
        <w:pageBreakBefore w:val="0"/>
        <w:widowControl/>
        <w:numPr>
          <w:ilvl w:val="0"/>
          <w:numId w:val="0"/>
        </w:numPr>
        <w:kinsoku/>
        <w:wordWrap/>
        <w:overflowPunct/>
        <w:topLinePunct w:val="0"/>
        <w:autoSpaceDE/>
        <w:autoSpaceDN/>
        <w:adjustRightInd w:val="0"/>
        <w:snapToGrid/>
        <w:spacing w:before="0" w:line="600" w:lineRule="exact"/>
        <w:ind w:left="0" w:firstLine="643" w:firstLineChars="200"/>
        <w:jc w:val="both"/>
        <w:rPr>
          <w:rFonts w:hint="eastAsia" w:ascii="仿宋_GB2312" w:hAnsi="仿宋_GB2312" w:eastAsia="仿宋_GB2312" w:cs="仿宋_GB2312"/>
          <w:b/>
          <w:bCs/>
          <w:snapToGrid w:val="0"/>
          <w:spacing w:val="0"/>
          <w:sz w:val="32"/>
          <w:szCs w:val="32"/>
          <w:lang w:val="en-US" w:eastAsia="zh-CN"/>
        </w:rPr>
      </w:pPr>
      <w:r>
        <w:rPr>
          <w:rFonts w:hint="eastAsia" w:ascii="仿宋_GB2312" w:hAnsi="仿宋_GB2312" w:eastAsia="仿宋_GB2312" w:cs="仿宋_GB2312"/>
          <w:b/>
          <w:bCs/>
          <w:snapToGrid w:val="0"/>
          <w:spacing w:val="0"/>
          <w:sz w:val="32"/>
          <w:szCs w:val="32"/>
          <w:lang w:val="en-US" w:eastAsia="zh-CN"/>
        </w:rPr>
        <w:t>目标（三）完成情况：</w:t>
      </w:r>
    </w:p>
    <w:p w14:paraId="63105409">
      <w:pPr>
        <w:pStyle w:val="15"/>
        <w:keepNext w:val="0"/>
        <w:keepLines w:val="0"/>
        <w:pageBreakBefore w:val="0"/>
        <w:widowControl/>
        <w:numPr>
          <w:ilvl w:val="0"/>
          <w:numId w:val="0"/>
        </w:numPr>
        <w:kinsoku/>
        <w:wordWrap/>
        <w:overflowPunct/>
        <w:topLinePunct w:val="0"/>
        <w:autoSpaceDE/>
        <w:autoSpaceDN/>
        <w:adjustRightInd w:val="0"/>
        <w:snapToGrid/>
        <w:spacing w:before="0" w:line="600" w:lineRule="exact"/>
        <w:ind w:left="0" w:firstLine="640" w:firstLineChars="200"/>
        <w:jc w:val="both"/>
        <w:rPr>
          <w:rFonts w:ascii="仿宋_GB2312" w:hAnsi="仿宋_GB2312" w:eastAsia="仿宋_GB2312" w:cs="仿宋_GB2312"/>
          <w:snapToGrid w:val="0"/>
          <w:spacing w:val="0"/>
          <w:sz w:val="32"/>
          <w:szCs w:val="32"/>
          <w:lang w:val="en-US" w:eastAsia="zh-CN"/>
        </w:rPr>
      </w:pPr>
      <w:r>
        <w:rPr>
          <w:rFonts w:hint="eastAsia" w:ascii="仿宋_GB2312" w:hAnsi="仿宋_GB2312" w:eastAsia="仿宋_GB2312" w:cs="仿宋_GB2312"/>
          <w:snapToGrid w:val="0"/>
          <w:spacing w:val="0"/>
          <w:sz w:val="32"/>
          <w:szCs w:val="32"/>
          <w:lang w:val="en-US" w:eastAsia="zh-CN"/>
        </w:rPr>
        <w:t>1.大青山水源工程小白河取水口规范整治工程建设已完成。根据《关于包头市大青山水源工程取水口建设工程初步设计报告的批复》（包水发〔2023〕36号），该工程主要由浮船泵站、码头、输水管线、蓄水池及河道控导等组成，5项工程于2024年均已通过竣工验收。</w:t>
      </w:r>
    </w:p>
    <w:p w14:paraId="6081B86A">
      <w:pPr>
        <w:pStyle w:val="15"/>
        <w:keepNext w:val="0"/>
        <w:keepLines w:val="0"/>
        <w:pageBreakBefore w:val="0"/>
        <w:widowControl/>
        <w:numPr>
          <w:ilvl w:val="0"/>
          <w:numId w:val="0"/>
        </w:numPr>
        <w:kinsoku/>
        <w:wordWrap/>
        <w:overflowPunct/>
        <w:topLinePunct w:val="0"/>
        <w:autoSpaceDE/>
        <w:autoSpaceDN/>
        <w:adjustRightInd w:val="0"/>
        <w:snapToGrid/>
        <w:spacing w:before="0" w:line="600" w:lineRule="exact"/>
        <w:ind w:left="0" w:firstLine="640" w:firstLineChars="200"/>
        <w:jc w:val="both"/>
        <w:rPr>
          <w:rFonts w:ascii="仿宋_GB2312" w:hAnsi="仿宋_GB2312" w:eastAsia="仿宋_GB2312" w:cs="仿宋_GB2312"/>
          <w:snapToGrid w:val="0"/>
          <w:spacing w:val="0"/>
          <w:sz w:val="32"/>
          <w:szCs w:val="32"/>
          <w:lang w:val="en-US" w:eastAsia="zh-CN"/>
        </w:rPr>
      </w:pPr>
      <w:r>
        <w:rPr>
          <w:rFonts w:hint="eastAsia" w:ascii="仿宋_GB2312" w:hAnsi="仿宋_GB2312" w:eastAsia="仿宋_GB2312" w:cs="仿宋_GB2312"/>
          <w:snapToGrid w:val="0"/>
          <w:spacing w:val="0"/>
          <w:sz w:val="32"/>
          <w:szCs w:val="32"/>
          <w:lang w:val="en-US" w:eastAsia="zh-CN"/>
        </w:rPr>
        <w:t>2.小白河应急分洪区严格按照要求进行分凌、退水和生态补水。按照水利部黄河水利委员会要求，小白河应急分洪区2023年累计分凌437万立方米，退水410万立方；2024年累计分凌201万立方米，退水195万立方米。</w:t>
      </w:r>
      <w:r>
        <w:rPr>
          <w:rFonts w:hint="eastAsia" w:ascii="仿宋_GB2312" w:hAnsi="仿宋_GB2312" w:eastAsia="仿宋_GB2312" w:cs="仿宋_GB2312"/>
          <w:snapToGrid w:val="0"/>
          <w:color w:val="000000"/>
          <w:spacing w:val="0"/>
          <w:sz w:val="32"/>
          <w:szCs w:val="32"/>
          <w:lang w:val="en-US" w:eastAsia="zh-CN"/>
        </w:rPr>
        <w:t>2023年7月-2024年6月生态补水计划量1339万立方米，实际取水量2339万立方米；2024年7月-2025年6月生态补水计划量3391万立方米，实际取水量2191万立方米。2024年7月，包头市水务局已对内蒙古泰宏生态环境发展股份有限公司2023年7月-2024年6月生态补水超计划取水行为进行通报。</w:t>
      </w:r>
    </w:p>
    <w:p w14:paraId="3E82310B">
      <w:pPr>
        <w:pStyle w:val="15"/>
        <w:keepNext w:val="0"/>
        <w:keepLines w:val="0"/>
        <w:pageBreakBefore w:val="0"/>
        <w:widowControl/>
        <w:numPr>
          <w:ilvl w:val="0"/>
          <w:numId w:val="0"/>
        </w:numPr>
        <w:kinsoku/>
        <w:wordWrap/>
        <w:overflowPunct/>
        <w:topLinePunct w:val="0"/>
        <w:autoSpaceDE/>
        <w:autoSpaceDN/>
        <w:adjustRightInd w:val="0"/>
        <w:snapToGrid/>
        <w:spacing w:before="0" w:line="600" w:lineRule="exact"/>
        <w:ind w:left="0" w:firstLine="643" w:firstLineChars="200"/>
        <w:jc w:val="both"/>
        <w:rPr>
          <w:rFonts w:hint="eastAsia" w:ascii="仿宋_GB2312" w:hAnsi="仿宋_GB2312" w:eastAsia="仿宋_GB2312" w:cs="仿宋_GB2312"/>
          <w:b/>
          <w:bCs/>
          <w:snapToGrid w:val="0"/>
          <w:spacing w:val="0"/>
          <w:sz w:val="32"/>
          <w:szCs w:val="32"/>
          <w:lang w:val="en-US" w:eastAsia="zh-CN"/>
        </w:rPr>
      </w:pPr>
      <w:r>
        <w:rPr>
          <w:rFonts w:hint="eastAsia" w:ascii="仿宋_GB2312" w:hAnsi="仿宋_GB2312" w:eastAsia="仿宋_GB2312" w:cs="仿宋_GB2312"/>
          <w:b/>
          <w:bCs/>
          <w:snapToGrid w:val="0"/>
          <w:spacing w:val="0"/>
          <w:sz w:val="32"/>
          <w:szCs w:val="32"/>
          <w:lang w:val="en-US" w:eastAsia="zh-CN"/>
        </w:rPr>
        <w:t>目标（四）完成情况：</w:t>
      </w:r>
    </w:p>
    <w:p w14:paraId="33795E7B">
      <w:pPr>
        <w:pStyle w:val="15"/>
        <w:keepNext w:val="0"/>
        <w:keepLines w:val="0"/>
        <w:pageBreakBefore w:val="0"/>
        <w:widowControl/>
        <w:numPr>
          <w:ilvl w:val="0"/>
          <w:numId w:val="0"/>
        </w:numPr>
        <w:kinsoku/>
        <w:wordWrap/>
        <w:overflowPunct/>
        <w:topLinePunct w:val="0"/>
        <w:autoSpaceDE/>
        <w:autoSpaceDN/>
        <w:adjustRightInd w:val="0"/>
        <w:snapToGrid/>
        <w:spacing w:before="0" w:line="600" w:lineRule="exact"/>
        <w:ind w:left="0" w:firstLine="640" w:firstLineChars="200"/>
        <w:jc w:val="both"/>
        <w:rPr>
          <w:rFonts w:hint="eastAsia" w:ascii="仿宋_GB2312" w:hAnsi="仿宋_GB2312" w:eastAsia="仿宋_GB2312" w:cs="仿宋_GB2312"/>
          <w:snapToGrid w:val="0"/>
          <w:spacing w:val="0"/>
          <w:sz w:val="32"/>
          <w:szCs w:val="32"/>
          <w:lang w:val="en-US" w:eastAsia="zh-CN"/>
        </w:rPr>
      </w:pPr>
      <w:r>
        <w:rPr>
          <w:rFonts w:ascii="仿宋_GB2312" w:hAnsi="仿宋_GB2312" w:eastAsia="仿宋_GB2312" w:cs="仿宋_GB2312"/>
          <w:snapToGrid w:val="0"/>
          <w:spacing w:val="0"/>
          <w:sz w:val="32"/>
          <w:szCs w:val="32"/>
          <w:lang w:val="en-US" w:eastAsia="zh-CN"/>
        </w:rPr>
        <w:t>1.</w:t>
      </w:r>
      <w:r>
        <w:rPr>
          <w:rFonts w:hint="eastAsia" w:ascii="仿宋_GB2312" w:hAnsi="仿宋_GB2312" w:eastAsia="仿宋_GB2312" w:cs="仿宋_GB2312"/>
          <w:snapToGrid w:val="0"/>
          <w:spacing w:val="0"/>
          <w:sz w:val="32"/>
          <w:szCs w:val="32"/>
          <w:lang w:val="en-US" w:eastAsia="zh-CN"/>
        </w:rPr>
        <w:t>完成包头市大青山水源工程黄河水权转让节水工程和希望园区再生水管线工程建设。2022年7月25日，大青山水源工程黄河水权转让节水改造工程建设项目完成竣工验收；希望园区再生水管线工程建设项目共6个标段，2023年11月24日，该工程1-3标段完成竣工验收，2024年1月23日，该工程4-6标段通过竣工验收。</w:t>
      </w:r>
    </w:p>
    <w:p w14:paraId="31A9DD95">
      <w:pPr>
        <w:rPr>
          <w:rFonts w:ascii="Calibri" w:hAnsi="Calibri" w:eastAsia="宋体"/>
          <w:sz w:val="21"/>
        </w:rPr>
      </w:pPr>
      <w:r>
        <w:rPr>
          <w:rFonts w:ascii="仿宋_GB2312" w:hAnsi="仿宋_GB2312" w:eastAsia="仿宋_GB2312" w:cs="仿宋_GB2312"/>
          <w:snapToGrid w:val="0"/>
          <w:spacing w:val="0"/>
          <w:sz w:val="32"/>
          <w:szCs w:val="32"/>
          <w:lang w:val="en-US" w:eastAsia="zh-CN"/>
        </w:rPr>
        <w:t>2.</w:t>
      </w:r>
      <w:r>
        <w:rPr>
          <w:rFonts w:hint="eastAsia" w:ascii="仿宋_GB2312" w:hAnsi="仿宋_GB2312" w:eastAsia="仿宋_GB2312" w:cs="仿宋_GB2312"/>
          <w:snapToGrid w:val="0"/>
          <w:spacing w:val="0"/>
          <w:sz w:val="32"/>
          <w:szCs w:val="32"/>
          <w:lang w:val="en-US" w:eastAsia="zh-CN"/>
        </w:rPr>
        <w:t>画匠营子取水口违规取水的8家企业已通过再生水置换、水权转让方式取得水利部门核发的取水许可证。包头海平面高分子工业有限公司九原分公司发证时间为2022年12月31日、国能包头煤化工有限责任公司发证时间为2023年7月6日、包头常铝北方铝业有限责任公司发证时间为2023年9月28日、包头海平面高分子工业有限公司发证时间为2023年12月29日、包头华鼎铜业发展有限公司发证时间为2025年4月22日、内蒙古普拉特交通能源有限公司发证时间为2025年4月23日、东方希望包头稀土铝业有限责任公司发证时间为2025年4月28日、东方希望包头生物工程有限公司发证时间为2025年5月18日。</w:t>
      </w:r>
      <w:r>
        <w:rPr>
          <w:rFonts w:hint="eastAsia" w:ascii="仿宋_GB2312" w:eastAsia="仿宋_GB2312"/>
          <w:spacing w:val="0"/>
          <w:kern w:val="2"/>
          <w:sz w:val="32"/>
          <w:szCs w:val="32"/>
        </w:rPr>
        <w:t>包头市水务局对违规取水的8家企业均依法进行了行政处罚，企业均已足额缴纳罚款。</w:t>
      </w:r>
    </w:p>
    <w:p w14:paraId="1A82B37F">
      <w:pPr>
        <w:pStyle w:val="15"/>
        <w:keepNext w:val="0"/>
        <w:keepLines w:val="0"/>
        <w:pageBreakBefore w:val="0"/>
        <w:widowControl/>
        <w:numPr>
          <w:ilvl w:val="0"/>
          <w:numId w:val="0"/>
        </w:numPr>
        <w:kinsoku/>
        <w:wordWrap/>
        <w:overflowPunct/>
        <w:topLinePunct w:val="0"/>
        <w:autoSpaceDE/>
        <w:autoSpaceDN/>
        <w:adjustRightInd w:val="0"/>
        <w:snapToGrid/>
        <w:spacing w:before="0" w:line="600" w:lineRule="exact"/>
        <w:ind w:left="0" w:firstLine="643" w:firstLineChars="200"/>
        <w:jc w:val="both"/>
        <w:rPr>
          <w:rFonts w:hint="eastAsia" w:ascii="仿宋_GB2312" w:hAnsi="仿宋_GB2312" w:eastAsia="仿宋_GB2312" w:cs="仿宋_GB2312"/>
          <w:b/>
          <w:bCs/>
          <w:snapToGrid w:val="0"/>
          <w:spacing w:val="0"/>
          <w:sz w:val="32"/>
          <w:szCs w:val="32"/>
          <w:lang w:val="en-US" w:eastAsia="zh-CN"/>
        </w:rPr>
      </w:pPr>
      <w:r>
        <w:rPr>
          <w:rFonts w:hint="eastAsia" w:ascii="仿宋_GB2312" w:hAnsi="仿宋_GB2312" w:eastAsia="仿宋_GB2312" w:cs="仿宋_GB2312"/>
          <w:b/>
          <w:bCs/>
          <w:snapToGrid w:val="0"/>
          <w:spacing w:val="0"/>
          <w:sz w:val="32"/>
          <w:szCs w:val="32"/>
          <w:lang w:val="en-US" w:eastAsia="zh-CN"/>
        </w:rPr>
        <w:t>目标（五）完成情况：</w:t>
      </w:r>
    </w:p>
    <w:p w14:paraId="789FD091">
      <w:pPr>
        <w:pStyle w:val="15"/>
        <w:keepNext w:val="0"/>
        <w:keepLines w:val="0"/>
        <w:pageBreakBefore w:val="0"/>
        <w:widowControl/>
        <w:numPr>
          <w:ilvl w:val="0"/>
          <w:numId w:val="0"/>
        </w:numPr>
        <w:kinsoku/>
        <w:wordWrap/>
        <w:overflowPunct/>
        <w:topLinePunct w:val="0"/>
        <w:autoSpaceDE/>
        <w:autoSpaceDN/>
        <w:adjustRightInd w:val="0"/>
        <w:snapToGrid/>
        <w:spacing w:before="0" w:line="600" w:lineRule="exact"/>
        <w:ind w:left="0" w:firstLine="640" w:firstLineChars="200"/>
        <w:jc w:val="both"/>
        <w:rPr>
          <w:rFonts w:ascii="仿宋_GB2312" w:hAnsi="仿宋_GB2312" w:eastAsia="仿宋_GB2312" w:cs="仿宋_GB2312"/>
          <w:snapToGrid w:val="0"/>
          <w:color w:val="auto"/>
          <w:spacing w:val="0"/>
          <w:sz w:val="32"/>
          <w:szCs w:val="32"/>
          <w:lang w:val="en-US" w:eastAsia="zh-CN"/>
        </w:rPr>
      </w:pPr>
      <w:r>
        <w:rPr>
          <w:rFonts w:hint="eastAsia" w:ascii="仿宋_GB2312" w:hAnsi="仿宋_GB2312" w:eastAsia="仿宋_GB2312" w:cs="仿宋_GB2312"/>
          <w:snapToGrid w:val="0"/>
          <w:spacing w:val="0"/>
          <w:sz w:val="32"/>
          <w:szCs w:val="32"/>
          <w:lang w:val="en-US" w:eastAsia="zh-CN"/>
        </w:rPr>
        <w:t>1.完成127个项目节水分类梳理排查。127个项目中27个项目不再实施，剩余100个项目中50个项目已建成，43个项目在建，7个项目</w:t>
      </w:r>
      <w:r>
        <w:rPr>
          <w:rFonts w:hint="eastAsia" w:ascii="仿宋_GB2312" w:hAnsi="仿宋_GB2312" w:eastAsia="仿宋_GB2312" w:cs="仿宋_GB2312"/>
          <w:snapToGrid w:val="0"/>
          <w:color w:val="auto"/>
          <w:spacing w:val="0"/>
          <w:sz w:val="32"/>
          <w:szCs w:val="32"/>
          <w:lang w:val="en-US" w:eastAsia="zh-CN"/>
        </w:rPr>
        <w:t>未落地。包头市工信局对50个已建成项目开展节水诊断，目前50个已建成项目已完成节水诊断。包头市委市</w:t>
      </w:r>
      <w:r>
        <w:rPr>
          <w:rFonts w:ascii="仿宋_GB2312" w:hAnsi="仿宋_GB2312" w:eastAsia="仿宋_GB2312" w:cs="仿宋_GB2312"/>
          <w:snapToGrid w:val="0"/>
          <w:color w:val="auto"/>
          <w:spacing w:val="0"/>
          <w:sz w:val="32"/>
          <w:szCs w:val="32"/>
          <w:lang w:val="en-US" w:eastAsia="zh-CN"/>
        </w:rPr>
        <w:t>、市</w:t>
      </w:r>
      <w:r>
        <w:rPr>
          <w:rFonts w:hint="eastAsia" w:ascii="仿宋_GB2312" w:hAnsi="仿宋_GB2312" w:eastAsia="仿宋_GB2312" w:cs="仿宋_GB2312"/>
          <w:snapToGrid w:val="0"/>
          <w:color w:val="auto"/>
          <w:spacing w:val="0"/>
          <w:sz w:val="32"/>
          <w:szCs w:val="32"/>
          <w:lang w:val="en-US" w:eastAsia="zh-CN"/>
        </w:rPr>
        <w:t>政府印发了《包头市推进水资源节约集约利用三年攻坚行动方案（2023-2025年）》，要求新上取用水项目要达到同行业先进用水水平，依法取得用水权。43个在建和7个未落地的项目截至2026年3月，已建设完成27个。27个项目中，除使用非常规水的项目均已取得用水权。</w:t>
      </w:r>
    </w:p>
    <w:p w14:paraId="750B8A05">
      <w:pPr>
        <w:pStyle w:val="15"/>
        <w:keepNext w:val="0"/>
        <w:keepLines w:val="0"/>
        <w:pageBreakBefore w:val="0"/>
        <w:widowControl/>
        <w:numPr>
          <w:ilvl w:val="0"/>
          <w:numId w:val="0"/>
        </w:numPr>
        <w:kinsoku/>
        <w:wordWrap/>
        <w:overflowPunct/>
        <w:topLinePunct w:val="0"/>
        <w:autoSpaceDE/>
        <w:autoSpaceDN/>
        <w:adjustRightInd w:val="0"/>
        <w:snapToGrid/>
        <w:spacing w:before="0" w:line="600" w:lineRule="exact"/>
        <w:ind w:left="0" w:firstLine="640" w:firstLineChars="200"/>
        <w:jc w:val="both"/>
        <w:rPr>
          <w:rFonts w:ascii="Arial" w:hAnsi="Arial"/>
          <w:sz w:val="22"/>
        </w:rPr>
      </w:pPr>
      <w:r>
        <w:rPr>
          <w:rFonts w:hint="eastAsia" w:ascii="仿宋_GB2312" w:hAnsi="仿宋_GB2312" w:eastAsia="仿宋_GB2312" w:cs="仿宋_GB2312"/>
          <w:snapToGrid w:val="0"/>
          <w:color w:val="auto"/>
          <w:spacing w:val="0"/>
          <w:sz w:val="32"/>
          <w:szCs w:val="32"/>
          <w:lang w:val="en-US" w:eastAsia="zh-CN"/>
        </w:rPr>
        <w:t>2.20个高耗水项目单位产品水耗达到自治区行业用水定额先进值。针对50个已建成项目中20个高耗水项目单位产</w:t>
      </w:r>
      <w:r>
        <w:rPr>
          <w:rFonts w:hint="eastAsia" w:ascii="仿宋_GB2312" w:hAnsi="仿宋_GB2312" w:eastAsia="仿宋_GB2312" w:cs="仿宋_GB2312"/>
          <w:snapToGrid w:val="0"/>
          <w:spacing w:val="0"/>
          <w:sz w:val="32"/>
          <w:szCs w:val="32"/>
          <w:lang w:val="en-US" w:eastAsia="zh-CN"/>
        </w:rPr>
        <w:t>品水耗分析，除16个高耗水项目无自治区行业用水先进值标准外，均已达到自治区行业用水先进值标准。</w:t>
      </w:r>
    </w:p>
    <w:p w14:paraId="0D4780A2">
      <w:pPr>
        <w:pStyle w:val="5"/>
        <w:rPr>
          <w:rFonts w:ascii="Arial" w:hAnsi="Arial"/>
          <w:sz w:val="24"/>
        </w:rPr>
      </w:pPr>
    </w:p>
    <w:p w14:paraId="38938B71">
      <w:pPr>
        <w:ind w:left="0"/>
        <w:jc w:val="both"/>
        <w:rPr>
          <w:rFonts w:hint="eastAsia" w:ascii="仿宋_GB2312" w:eastAsia="仿宋_GB2312" w:cs="仿宋_GB2312"/>
          <w:sz w:val="32"/>
          <w:szCs w:val="32"/>
        </w:rPr>
      </w:pPr>
    </w:p>
    <w:sectPr>
      <w:footerReference r:id="rId3" w:type="default"/>
      <w:footerReference r:id="rId4" w:type="even"/>
      <w:pgSz w:w="11906" w:h="16838"/>
      <w:pgMar w:top="1871" w:right="1514" w:bottom="1700" w:left="151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cida Sans">
    <w:panose1 w:val="020B0602030504020204"/>
    <w:charset w:val="00"/>
    <w:family w:val="auto"/>
    <w:pitch w:val="default"/>
    <w:sig w:usb0="00000003" w:usb1="00000000" w:usb2="00000000" w:usb3="00000000" w:csb0="2000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90C71">
    <w:pPr>
      <w:pStyle w:val="9"/>
      <w:framePr w:wrap="around" w:vAnchor="text" w:hAnchor="margin" w:xAlign="outside" w:y="1"/>
      <w:pBdr>
        <w:top w:val="none" w:color="auto" w:sz="0" w:space="0"/>
        <w:left w:val="none" w:color="auto" w:sz="0" w:space="0"/>
        <w:bottom w:val="none" w:color="auto" w:sz="0" w:space="0"/>
        <w:right w:val="none" w:color="auto" w:sz="0" w:space="0"/>
      </w:pBdr>
      <w:rPr>
        <w:rFonts w:hint="eastAsia" w:ascii="宋体" w:hAnsi="宋体" w:cs="宋体"/>
        <w:sz w:val="28"/>
        <w:szCs w:val="28"/>
      </w:rPr>
    </w:pPr>
    <w:r>
      <w:rPr>
        <w:rStyle w:val="18"/>
        <w:rFonts w:hint="eastAsia" w:ascii="宋体" w:hAnsi="宋体" w:cs="宋体"/>
        <w:sz w:val="28"/>
        <w:szCs w:val="28"/>
      </w:rPr>
      <w:fldChar w:fldCharType="begin"/>
    </w:r>
    <w:r>
      <w:rPr>
        <w:rStyle w:val="18"/>
        <w:rFonts w:hint="eastAsia" w:ascii="宋体" w:hAnsi="宋体" w:cs="宋体"/>
        <w:sz w:val="28"/>
        <w:szCs w:val="28"/>
      </w:rPr>
      <w:instrText xml:space="preserve">Page</w:instrText>
    </w:r>
    <w:r>
      <w:rPr>
        <w:rStyle w:val="18"/>
        <w:rFonts w:hint="eastAsia" w:ascii="宋体" w:hAnsi="宋体" w:cs="宋体"/>
        <w:sz w:val="28"/>
        <w:szCs w:val="28"/>
      </w:rPr>
      <w:fldChar w:fldCharType="separate"/>
    </w:r>
    <w:r>
      <w:rPr>
        <w:rStyle w:val="18"/>
        <w:rFonts w:hint="eastAsia" w:ascii="宋体" w:hAnsi="宋体" w:cs="宋体"/>
        <w:sz w:val="28"/>
        <w:szCs w:val="28"/>
      </w:rPr>
      <w:t>— 1 —</w:t>
    </w:r>
    <w:r>
      <w:rPr>
        <w:rStyle w:val="18"/>
        <w:rFonts w:hint="eastAsia" w:ascii="宋体" w:hAnsi="宋体" w:cs="宋体"/>
        <w:sz w:val="28"/>
        <w:szCs w:val="28"/>
      </w:rPr>
      <w:fldChar w:fldCharType="end"/>
    </w:r>
  </w:p>
  <w:p w14:paraId="4DD6E3C3">
    <w:pPr>
      <w:pStyle w:val="9"/>
      <w:ind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F2800">
    <w:pPr>
      <w:pStyle w:val="9"/>
      <w:framePr w:wrap="around" w:vAnchor="text" w:hAnchor="margin" w:xAlign="outside" w:y="1"/>
      <w:pBdr>
        <w:top w:val="none" w:color="auto" w:sz="0" w:space="0"/>
        <w:left w:val="none" w:color="auto" w:sz="0" w:space="0"/>
        <w:bottom w:val="none" w:color="auto" w:sz="0" w:space="0"/>
        <w:right w:val="none" w:color="auto" w:sz="0" w:space="0"/>
      </w:pBdr>
    </w:pPr>
    <w:r>
      <w:rPr>
        <w:rStyle w:val="18"/>
      </w:rPr>
      <w:fldChar w:fldCharType="begin"/>
    </w:r>
    <w:r>
      <w:rPr>
        <w:rStyle w:val="18"/>
      </w:rPr>
      <w:instrText xml:space="preserve">Page</w:instrText>
    </w:r>
    <w:r>
      <w:rPr>
        <w:rStyle w:val="18"/>
      </w:rPr>
      <w:fldChar w:fldCharType="separate"/>
    </w:r>
    <w:r>
      <w:rPr>
        <w:rStyle w:val="18"/>
        <w:rFonts w:hint="eastAsia"/>
      </w:rPr>
      <w:t>— 1 —</w:t>
    </w:r>
    <w:r>
      <w:rPr>
        <w:rStyle w:val="18"/>
      </w:rPr>
      <w:fldChar w:fldCharType="end"/>
    </w:r>
  </w:p>
  <w:p w14:paraId="568237EB">
    <w:pPr>
      <w:pStyle w:val="9"/>
      <w:framePr w:wrap="around" w:vAnchor="text" w:hAnchor="margin" w:xAlign="outside" w:y="1"/>
      <w:pBdr>
        <w:top w:val="none" w:color="auto" w:sz="0" w:space="0"/>
        <w:left w:val="none" w:color="auto" w:sz="0" w:space="0"/>
        <w:bottom w:val="none" w:color="auto" w:sz="0" w:space="0"/>
        <w:right w:val="none" w:color="auto" w:sz="0" w:space="0"/>
      </w:pBdr>
      <w:ind w:firstLine="360"/>
    </w:pPr>
    <w:r>
      <w:rPr>
        <w:rStyle w:val="18"/>
      </w:rPr>
      <w:fldChar w:fldCharType="begin"/>
    </w:r>
    <w:r>
      <w:rPr>
        <w:rStyle w:val="18"/>
      </w:rPr>
      <w:instrText xml:space="preserve">Page</w:instrText>
    </w:r>
    <w:r>
      <w:rPr>
        <w:rStyle w:val="18"/>
      </w:rPr>
      <w:fldChar w:fldCharType="separate"/>
    </w:r>
    <w:r>
      <w:rPr>
        <w:rStyle w:val="18"/>
        <w:rFonts w:hint="eastAsia"/>
      </w:rPr>
      <w:t>— 1 —</w:t>
    </w:r>
    <w:r>
      <w:rPr>
        <w:rStyle w:val="18"/>
      </w:rPr>
      <w:fldChar w:fldCharType="end"/>
    </w:r>
  </w:p>
  <w:p w14:paraId="4F39D692">
    <w:pPr>
      <w:pStyle w:val="9"/>
      <w:ind w:firstLine="360"/>
      <w:rPr>
        <w:rFonts w:ascii="宋体" w:hAnsi="宋体"/>
        <w:sz w:val="28"/>
        <w:szCs w:val="28"/>
      </w:rPr>
    </w:pPr>
    <w:r>
      <w:rPr>
        <w:rStyle w:val="18"/>
        <w:rFonts w:ascii="宋体" w:hAnsi="宋体"/>
        <w:sz w:val="28"/>
        <w:szCs w:val="28"/>
      </w:rPr>
      <w:t>–</w:t>
    </w:r>
    <w:r>
      <w:rPr>
        <w:rStyle w:val="18"/>
        <w:rFonts w:hint="eastAsia" w:ascii="宋体" w:hAnsi="宋体"/>
        <w:sz w:val="28"/>
        <w:szCs w:val="28"/>
      </w:rPr>
      <w:t xml:space="preserve"> </w:t>
    </w:r>
    <w:r>
      <w:rPr>
        <w:rStyle w:val="18"/>
        <w:rFonts w:ascii="宋体" w:hAnsi="宋体"/>
        <w:sz w:val="28"/>
        <w:szCs w:val="28"/>
      </w:rPr>
      <w:fldChar w:fldCharType="begin"/>
    </w:r>
    <w:r>
      <w:rPr>
        <w:rStyle w:val="18"/>
        <w:rFonts w:ascii="宋体" w:hAnsi="宋体"/>
        <w:sz w:val="28"/>
        <w:szCs w:val="28"/>
      </w:rPr>
      <w:instrText xml:space="preserve">PAGE  </w:instrText>
    </w:r>
    <w:r>
      <w:rPr>
        <w:rStyle w:val="18"/>
        <w:rFonts w:ascii="宋体" w:hAnsi="宋体"/>
        <w:sz w:val="28"/>
        <w:szCs w:val="28"/>
      </w:rPr>
      <w:fldChar w:fldCharType="separate"/>
    </w:r>
    <w:r>
      <w:rPr>
        <w:rStyle w:val="18"/>
        <w:rFonts w:ascii="宋体" w:hAnsi="宋体"/>
        <w:sz w:val="28"/>
        <w:szCs w:val="28"/>
      </w:rPr>
      <w:t>2</w:t>
    </w:r>
    <w:r>
      <w:rPr>
        <w:rStyle w:val="18"/>
        <w:rFonts w:ascii="宋体" w:hAnsi="宋体"/>
        <w:sz w:val="28"/>
        <w:szCs w:val="28"/>
      </w:rPr>
      <w:fldChar w:fldCharType="end"/>
    </w:r>
    <w:r>
      <w:rPr>
        <w:rStyle w:val="18"/>
        <w:rFonts w:hint="eastAsia" w:ascii="宋体" w:hAnsi="宋体"/>
        <w:sz w:val="28"/>
        <w:szCs w:val="28"/>
      </w:rPr>
      <w:t xml:space="preserve"> </w:t>
    </w:r>
    <w:r>
      <w:rPr>
        <w:rStyle w:val="18"/>
        <w:rFonts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EB0FDD"/>
    <w:rsid w:val="5B8B30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beforeAutospacing="0" w:after="330" w:afterAutospacing="0" w:line="576" w:lineRule="auto"/>
      <w:outlineLvl w:val="0"/>
    </w:pPr>
    <w:rPr>
      <w:b/>
      <w:kern w:val="44"/>
      <w:sz w:val="44"/>
    </w:rPr>
  </w:style>
  <w:style w:type="paragraph" w:styleId="3">
    <w:name w:val="heading 2"/>
    <w:basedOn w:val="1"/>
    <w:next w:val="1"/>
    <w:link w:val="20"/>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21"/>
    <w:qFormat/>
    <w:uiPriority w:val="0"/>
    <w:pPr>
      <w:keepNext/>
      <w:keepLines/>
      <w:spacing w:before="260" w:after="260" w:line="415" w:lineRule="auto"/>
      <w:outlineLvl w:val="2"/>
    </w:pPr>
    <w:rPr>
      <w:b/>
      <w:bCs/>
      <w:sz w:val="32"/>
      <w:szCs w:val="32"/>
    </w:rPr>
  </w:style>
  <w:style w:type="character" w:default="1" w:styleId="17">
    <w:name w:val="Default Paragraph Font"/>
    <w:qFormat/>
    <w:uiPriority w:val="0"/>
  </w:style>
  <w:style w:type="table" w:default="1" w:styleId="16">
    <w:name w:val="Normal Table"/>
    <w:semiHidden/>
    <w:uiPriority w:val="0"/>
    <w:tblPr>
      <w:tblCellMar>
        <w:top w:w="0" w:type="dxa"/>
        <w:left w:w="108" w:type="dxa"/>
        <w:bottom w:w="0" w:type="dxa"/>
        <w:right w:w="108" w:type="dxa"/>
      </w:tblCellMar>
    </w:tblPr>
  </w:style>
  <w:style w:type="paragraph" w:styleId="5">
    <w:name w:val="toa heading"/>
    <w:basedOn w:val="1"/>
    <w:next w:val="1"/>
    <w:qFormat/>
    <w:uiPriority w:val="0"/>
    <w:pPr>
      <w:spacing w:before="120" w:line="360" w:lineRule="auto"/>
    </w:pPr>
    <w:rPr>
      <w:rFonts w:ascii="Arial" w:hAnsi="Arial" w:eastAsia="宋体" w:cs="Arial"/>
      <w:sz w:val="24"/>
    </w:rPr>
  </w:style>
  <w:style w:type="paragraph" w:styleId="6">
    <w:name w:val="Body Text Indent"/>
    <w:basedOn w:val="1"/>
    <w:qFormat/>
    <w:uiPriority w:val="0"/>
    <w:pPr>
      <w:ind w:left="-3" w:firstLine="210"/>
    </w:pPr>
    <w:rPr>
      <w:rFonts w:ascii="楷体_GB2312" w:hAnsi="华文中宋" w:eastAsia="楷体_GB2312" w:cs="Times New Roman"/>
      <w:sz w:val="21"/>
      <w:szCs w:val="20"/>
    </w:rPr>
  </w:style>
  <w:style w:type="paragraph" w:styleId="7">
    <w:name w:val="toc 5"/>
    <w:basedOn w:val="1"/>
    <w:next w:val="1"/>
    <w:autoRedefine/>
    <w:qFormat/>
    <w:uiPriority w:val="0"/>
    <w:pPr>
      <w:ind w:left="1680"/>
    </w:pPr>
  </w:style>
  <w:style w:type="paragraph" w:styleId="8">
    <w:name w:val="toc 3"/>
    <w:basedOn w:val="1"/>
    <w:next w:val="1"/>
    <w:autoRedefine/>
    <w:qFormat/>
    <w:uiPriority w:val="0"/>
    <w:pPr>
      <w:ind w:left="840"/>
    </w:pPr>
  </w:style>
  <w:style w:type="paragraph" w:styleId="9">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10">
    <w:name w:val="header"/>
    <w:basedOn w:val="1"/>
    <w:qFormat/>
    <w:uiPriority w:val="0"/>
    <w:pPr>
      <w:pBdr>
        <w:bottom w:val="single" w:color="auto" w:sz="6" w:space="1"/>
      </w:pBdr>
      <w:tabs>
        <w:tab w:val="center" w:pos="4153"/>
        <w:tab w:val="right" w:pos="8307"/>
      </w:tabs>
      <w:snapToGrid w:val="0"/>
      <w:jc w:val="center"/>
    </w:pPr>
    <w:rPr>
      <w:sz w:val="18"/>
      <w:szCs w:val="18"/>
    </w:rPr>
  </w:style>
  <w:style w:type="paragraph" w:styleId="11">
    <w:name w:val="toc 1"/>
    <w:basedOn w:val="1"/>
    <w:next w:val="1"/>
    <w:autoRedefine/>
    <w:qFormat/>
    <w:uiPriority w:val="0"/>
  </w:style>
  <w:style w:type="paragraph" w:styleId="12">
    <w:name w:val="toc 4"/>
    <w:basedOn w:val="1"/>
    <w:next w:val="1"/>
    <w:autoRedefine/>
    <w:qFormat/>
    <w:uiPriority w:val="0"/>
    <w:pPr>
      <w:ind w:left="1260"/>
    </w:pPr>
  </w:style>
  <w:style w:type="paragraph" w:styleId="13">
    <w:name w:val="toc 2"/>
    <w:basedOn w:val="1"/>
    <w:next w:val="1"/>
    <w:autoRedefine/>
    <w:qFormat/>
    <w:uiPriority w:val="0"/>
    <w:pPr>
      <w:ind w:left="420"/>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paragraph" w:styleId="15">
    <w:name w:val="Body Text First Indent 2"/>
    <w:basedOn w:val="6"/>
    <w:qFormat/>
    <w:uiPriority w:val="0"/>
    <w:pPr>
      <w:widowControl/>
      <w:adjustRightInd w:val="0"/>
      <w:spacing w:before="200" w:line="300" w:lineRule="auto"/>
      <w:ind w:left="-3" w:firstLine="200" w:firstLineChars="200"/>
      <w:jc w:val="left"/>
      <w:textAlignment w:val="baseline"/>
    </w:pPr>
    <w:rPr>
      <w:rFonts w:ascii="Arial" w:hAnsi="Arial" w:eastAsia="楷体_GB2312"/>
      <w:color w:val="000000"/>
      <w:sz w:val="22"/>
      <w:szCs w:val="22"/>
      <w:lang w:val="zh-CN"/>
    </w:rPr>
  </w:style>
  <w:style w:type="character" w:styleId="18">
    <w:name w:val="page number"/>
    <w:basedOn w:val="17"/>
    <w:qFormat/>
    <w:uiPriority w:val="0"/>
  </w:style>
  <w:style w:type="character" w:customStyle="1" w:styleId="19">
    <w:name w:val="heading 1 Char"/>
    <w:basedOn w:val="17"/>
    <w:link w:val="2"/>
    <w:qFormat/>
    <w:uiPriority w:val="0"/>
    <w:rPr>
      <w:rFonts w:ascii="Calibri" w:hAnsi="Calibri" w:eastAsia="宋体" w:cs="Times New Roman"/>
      <w:b/>
      <w:kern w:val="44"/>
      <w:sz w:val="44"/>
      <w:szCs w:val="24"/>
      <w:lang w:val="en-US" w:eastAsia="zh-CN" w:bidi="ar-SA"/>
    </w:rPr>
  </w:style>
  <w:style w:type="character" w:customStyle="1" w:styleId="20">
    <w:name w:val="heading 2 Char"/>
    <w:basedOn w:val="17"/>
    <w:link w:val="3"/>
    <w:qFormat/>
    <w:uiPriority w:val="0"/>
    <w:rPr>
      <w:rFonts w:ascii="Times New Roman" w:hAnsi="Times New Roman" w:eastAsia="黑体" w:cs="Times New Roman"/>
      <w:b/>
      <w:bCs/>
      <w:kern w:val="2"/>
      <w:sz w:val="32"/>
      <w:szCs w:val="32"/>
      <w:lang w:val="en-US" w:eastAsia="zh-CN" w:bidi="ar-SA"/>
    </w:rPr>
  </w:style>
  <w:style w:type="character" w:customStyle="1" w:styleId="21">
    <w:name w:val="heading 3 Char"/>
    <w:basedOn w:val="17"/>
    <w:link w:val="4"/>
    <w:qFormat/>
    <w:uiPriority w:val="0"/>
    <w:rPr>
      <w:rFonts w:ascii="Calibri" w:hAnsi="Calibri" w:eastAsia="宋体" w:cs="Times New Roman"/>
      <w:b/>
      <w:bCs/>
      <w:kern w:val="2"/>
      <w:sz w:val="32"/>
      <w:szCs w:val="32"/>
      <w:lang w:val="en-US" w:eastAsia="zh-CN" w:bidi="ar-SA"/>
    </w:rPr>
  </w:style>
  <w:style w:type="paragraph" w:customStyle="1" w:styleId="22">
    <w:name w:val="公文标题"/>
    <w:basedOn w:val="1"/>
    <w:qFormat/>
    <w:uiPriority w:val="0"/>
    <w:pPr>
      <w:spacing w:line="600" w:lineRule="exact"/>
      <w:jc w:val="center"/>
    </w:pPr>
    <w:rPr>
      <w:rFonts w:ascii="方正小标宋_GBK" w:hAnsi="方正小标宋_GBK" w:cs="宋体"/>
      <w:b/>
      <w:sz w:val="36"/>
      <w:szCs w:val="20"/>
    </w:rPr>
  </w:style>
  <w:style w:type="paragraph" w:customStyle="1" w:styleId="23">
    <w:name w:val="主送单位"/>
    <w:basedOn w:val="1"/>
    <w:qFormat/>
    <w:uiPriority w:val="0"/>
    <w:pPr>
      <w:spacing w:line="600" w:lineRule="exact"/>
    </w:pPr>
    <w:rPr>
      <w:rFonts w:eastAsia="仿宋_GB2312" w:cs="宋体"/>
      <w:sz w:val="32"/>
      <w:szCs w:val="20"/>
    </w:rPr>
  </w:style>
  <w:style w:type="paragraph" w:customStyle="1" w:styleId="24">
    <w:name w:val="公文正文"/>
    <w:basedOn w:val="1"/>
    <w:qFormat/>
    <w:uiPriority w:val="0"/>
    <w:pPr>
      <w:spacing w:line="600" w:lineRule="exact"/>
      <w:ind w:firstLine="200" w:firstLineChars="200"/>
    </w:pPr>
    <w:rPr>
      <w:rFonts w:eastAsia="仿宋_GB2312" w:cs="宋体"/>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pgNumType="\* ArabicDash2"/>
  </customProps>
</customData>
</file>

<file path=customXml/itemProps1.xml><?xml version="1.0" encoding="utf-8"?>
<ds:datastoreItem xmlns:ds="http://schemas.openxmlformats.org/officeDocument/2006/customXml" ds:itemID="{14B63B03-78E7-47FE-93CF-301C7FD7D21B}">
  <ds:schemaRefs/>
</ds:datastoreItem>
</file>

<file path=docProps/app.xml><?xml version="1.0" encoding="utf-8"?>
<Properties xmlns="http://schemas.openxmlformats.org/officeDocument/2006/extended-properties" xmlns:vt="http://schemas.openxmlformats.org/officeDocument/2006/docPropsVTypes">
  <Template>Normal.eit</Template>
  <Pages>5</Pages>
  <Words>2365</Words>
  <Characters>2656</Characters>
  <Lines>0</Lines>
  <Paragraphs>48</Paragraphs>
  <TotalTime>14092717</TotalTime>
  <ScaleCrop>false</ScaleCrop>
  <LinksUpToDate>false</LinksUpToDate>
  <CharactersWithSpaces>2718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2021-01-13T06:20:00Z</dcterms:created>
  <dc:creator>郑滨</dc:creator>
  <cp:lastModifiedBy>涛涛</cp:lastModifiedBy>
  <dcterms:modified xsi:type="dcterms:W3CDTF">2026-03-30T02:29:51Z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eyJoZGlkIjoiYTExZGFmZDEwMTM5MmIzNGQ0Yzk3ODAwOWExMmEyMTUiLCJ1c2VySWQiOiI2MDc2MjA4MjkifQ==</vt:lpwstr>
  </property>
  <property fmtid="{D5CDD505-2E9C-101B-9397-08002B2CF9AE}" pid="4" name="ICV">
    <vt:lpwstr>BC6FF200C8404400A7C8FDB1ECF2EFCF_13</vt:lpwstr>
  </property>
</Properties>
</file>